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Call For Nominations</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For the 2025/2026 Board of Directors Election</w:t>
      </w:r>
    </w:p>
    <w:p w:rsidR="00000000" w:rsidDel="00000000" w:rsidP="00000000" w:rsidRDefault="00000000" w:rsidRPr="00000000" w14:paraId="00000004">
      <w:pPr>
        <w:rPr>
          <w:b w:val="1"/>
          <w:sz w:val="26"/>
          <w:szCs w:val="26"/>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If you are an Apex Volleyball Club player or their legal guardian/parent, 18 years of age or older and committed to promoting the objectives and the philosophy of the Apex Volleyball Club, consider running for the 2025/2026 election for the Apex Board of Directors.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Please print the name of each nominee clearly on the following form. Nominations are also accepted on the Floor at the AGM prior to the election. Vivian Young, our secretary, will be the registrar for the 2025/2026 election.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The following positions are open for nominations for the term lasting from November 02, 2025 to November 02,  2026.</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Incumbent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Nominee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Vinh 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Vivian Young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Member at Large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Selena Tam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Submitted by 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